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5" w:rsidRDefault="003D52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5275" w:rsidRDefault="003D527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D52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275" w:rsidRDefault="003D5275">
            <w:pPr>
              <w:pStyle w:val="ConsPlusNormal"/>
              <w:outlineLvl w:val="0"/>
            </w:pPr>
            <w:r>
              <w:t>19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5275" w:rsidRDefault="003D5275">
            <w:pPr>
              <w:pStyle w:val="ConsPlusNormal"/>
              <w:jc w:val="right"/>
              <w:outlineLvl w:val="0"/>
            </w:pPr>
            <w:r>
              <w:t>N 113-ОЗ</w:t>
            </w:r>
          </w:p>
        </w:tc>
      </w:tr>
    </w:tbl>
    <w:p w:rsidR="003D5275" w:rsidRDefault="003D5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jc w:val="center"/>
      </w:pPr>
      <w:r>
        <w:t>ВОРОНЕЖСКАЯ ОБЛАСТЬ</w:t>
      </w:r>
    </w:p>
    <w:p w:rsidR="003D5275" w:rsidRDefault="003D5275">
      <w:pPr>
        <w:pStyle w:val="ConsPlusTitle"/>
        <w:jc w:val="center"/>
      </w:pPr>
    </w:p>
    <w:p w:rsidR="003D5275" w:rsidRDefault="003D5275">
      <w:pPr>
        <w:pStyle w:val="ConsPlusTitle"/>
        <w:jc w:val="center"/>
      </w:pPr>
      <w:r>
        <w:t>ЗАКОН</w:t>
      </w:r>
    </w:p>
    <w:p w:rsidR="003D5275" w:rsidRDefault="003D5275">
      <w:pPr>
        <w:pStyle w:val="ConsPlusTitle"/>
        <w:jc w:val="center"/>
      </w:pPr>
    </w:p>
    <w:p w:rsidR="003D5275" w:rsidRDefault="003D5275">
      <w:pPr>
        <w:pStyle w:val="ConsPlusTitle"/>
        <w:jc w:val="center"/>
      </w:pPr>
      <w:r>
        <w:t xml:space="preserve">О РЕГУЛИРОВАНИИ ОТДЕЛЬНЫХ ОТНОШЕНИЙ В СФЕРЕ </w:t>
      </w:r>
      <w:proofErr w:type="gramStart"/>
      <w:r>
        <w:t>СОЦИАЛЬНОГО</w:t>
      </w:r>
      <w:proofErr w:type="gramEnd"/>
    </w:p>
    <w:p w:rsidR="003D5275" w:rsidRDefault="003D5275">
      <w:pPr>
        <w:pStyle w:val="ConsPlusTitle"/>
        <w:jc w:val="center"/>
      </w:pPr>
      <w:r>
        <w:t>ОБСЛУЖИВАНИЯ ГРАЖДАН НА ТЕРРИТОРИИ ВОРОНЕЖСКОЙ ОБЛАСТИ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3D5275" w:rsidRDefault="003D5275">
      <w:pPr>
        <w:pStyle w:val="ConsPlusNormal"/>
        <w:jc w:val="right"/>
      </w:pPr>
      <w:r>
        <w:t>18 июня 2015 года</w:t>
      </w:r>
    </w:p>
    <w:p w:rsidR="003D5275" w:rsidRDefault="003D52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52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275" w:rsidRDefault="003D52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275" w:rsidRDefault="003D52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30.11.2015 </w:t>
            </w:r>
            <w:hyperlink r:id="rId5" w:history="1">
              <w:r>
                <w:rPr>
                  <w:color w:val="0000FF"/>
                </w:rPr>
                <w:t>N 170-ОЗ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5275" w:rsidRDefault="003D52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6" w:history="1">
              <w:r>
                <w:rPr>
                  <w:color w:val="0000FF"/>
                </w:rPr>
                <w:t>N 212-ОЗ</w:t>
              </w:r>
            </w:hyperlink>
            <w:r>
              <w:rPr>
                <w:color w:val="392C69"/>
              </w:rPr>
              <w:t xml:space="preserve">, от 01.06.2016 </w:t>
            </w:r>
            <w:hyperlink r:id="rId7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14.12.2017 </w:t>
            </w:r>
            <w:hyperlink r:id="rId8" w:history="1">
              <w:r>
                <w:rPr>
                  <w:color w:val="0000FF"/>
                </w:rPr>
                <w:t>N 189-ОЗ</w:t>
              </w:r>
            </w:hyperlink>
            <w:r>
              <w:rPr>
                <w:color w:val="392C69"/>
              </w:rPr>
              <w:t>,</w:t>
            </w:r>
          </w:p>
          <w:p w:rsidR="003D5275" w:rsidRDefault="003D52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9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09.06.2018 </w:t>
            </w:r>
            <w:hyperlink r:id="rId10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 Воронежской области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 xml:space="preserve">Настоящий Закон Воронежской области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регулирует отдельные отношения в сфере социального обслуживания граждан на территории Воронежской области (далее - социальное обслуживание).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2. Правовая основа регулирования отношений в сфере социального обслуживания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 xml:space="preserve">Правовой основой регулирования отношений в сфере социального обслуживания на территории Воронежской области является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"Об основах социального обслуживания граждан в Российской Федерации", иные нормативные правовые акты Российской Федерации, настоящий Закон Воронежской области и иные нормативные правовые акты Воронежской области.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Законе Воронежской области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 xml:space="preserve">Основные понятия, используемые в настоящем Законе Воронежской области, применяются в значениях, определенных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3.1. Система социального обслуживания в Воронежской области</w:t>
      </w:r>
    </w:p>
    <w:p w:rsidR="003D5275" w:rsidRDefault="003D527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Воронежской области от 12.03.2018 N 19-ОЗ)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>Система социального обслуживания в Воронежской области включает в себя: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1) исполнительный орган государственной власти Воронежской области, уполномоченный на осуществление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на территории Воронежской области (далее - уполномоченный орган), в том числе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обслуживании, составление индивидуальной программы предоставления социальных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lastRenderedPageBreak/>
        <w:t>2) организации социального обслуживания, находящиеся в ведении Воронежской области;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на территории Воронежской области;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4) индивидуальных предпринимателей, осуществляющих социальное обслуживание на территории Воронежской области;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5) организации, которые находятся в ведении уполномоченного органа и которым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Воронежской области.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4. Полномочия Воронежской областной Думы в сфере социального обслуживания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>К полномочиям Воронежской областной Думы в сфере социального обслуживания относятся: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1) осуществление законодательного регулирования в сфере социального обслуживания в пределах компетенции в соответствии с федеральным законодательством;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2)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сфере социального обслуживания;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3) иные полномочия в соответствии с федеральным законодательством.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5. Полномочия правительства Воронежской области в сфере социального обслуживания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>К полномочиям правительства Воронежской области в сфере социального обслуживания в соответствии с федеральным законодательством относятся: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1) определение уполномоченного органа;</w:t>
      </w:r>
    </w:p>
    <w:p w:rsidR="003D5275" w:rsidRDefault="003D5275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Воронежской области от 12.03.2018 N 19-ОЗ)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2) утверждение </w:t>
      </w:r>
      <w:proofErr w:type="gramStart"/>
      <w:r>
        <w:t>регламента межведомственного взаимодействия органов государственной власти Воронежской области</w:t>
      </w:r>
      <w:proofErr w:type="gramEnd"/>
      <w:r>
        <w:t xml:space="preserve"> в связи с реализацией полномочий в сфере социального обслуживания;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3) утверждение нормативов штатной численности организаций социального обслуживания, находящихся в ведении Воронежской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4) утверждение норм питания в организациях социального обслуживания, находящихся в ведении Воронежской области;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5) утверждение порядка предоставления социальных услуг поставщиками социальных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6)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7) утверждение порядка организации осуществления регионального государственного контроля (надзора) в сфере социального обслуживания с указанием исполнительного органа </w:t>
      </w:r>
      <w:r>
        <w:lastRenderedPageBreak/>
        <w:t>государственной власти Воронежской области, уполномоченного на осуществление такого контроля;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8) утверждение размера платы за предоставление социальных услуг и порядка ее взимания;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9) установление порядка реализации программ в сфере социального обслуживания, в том числе инвестиционных программ;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10) утверждение </w:t>
      </w:r>
      <w:proofErr w:type="gramStart"/>
      <w:r>
        <w:t>порядка межведомственного взаимодействия органов государственной власти Воронежской области</w:t>
      </w:r>
      <w:proofErr w:type="gramEnd"/>
      <w:r>
        <w:t xml:space="preserve"> при предоставлении социальных услуг и социального сопровождения;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11) установление размера и порядка выплаты компенсации поставщикам социальных услуг, которые включены в реестр поставщиков социальных услуг Воронежской области, но не участвуют в выполнении государственного задания (заказа);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12) утверждение региональных программ социального обслуживания, содержащих мероприятия по профилактике обстоятельств, обусловливающих нуждаемость гражданина в социальном обслуживании;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13) иные полномочия, предусмотренные федеральным законодательством.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6. Полномочия уполномоченного органа в сфере социального обслуживания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>К полномочиям уполномоченного органа в сфере социального обслуживания в соответствии с федеральным законодательством относятся: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1) правовое регулирование и организация социального обслуживания в Воронежской области в пределах полномочий,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Воронежской области;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3) формирование и ведение реестра поставщиков социальных услуг и регистра получателей социальных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4)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в сети "Интернет";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5)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6) ведение учета и отчетности в сфере социального обслуживания в Воронежской области;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7)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Воронежской области;</w:t>
      </w:r>
    </w:p>
    <w:p w:rsidR="003D5275" w:rsidRDefault="003D527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Воронежской области от 12.03.2018 N 19-ОЗ)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8) утверждение номенклатуры организаций социального обслуживания в Воронежской области;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lastRenderedPageBreak/>
        <w:t>9) установление порядка расходования организациями социального обслуживания, находящимися в ведении Воронежской области, средств, образовавшихся в результате взимания платы за предоставление социальных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10)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обслуживанием, находящиеся в ведении Воронежской области,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11) установление обстоятельств, ухудшающих или способных ухудшить условия жизнедеятельности граждан, в соответствии с </w:t>
      </w:r>
      <w:hyperlink r:id="rId21" w:history="1">
        <w:r>
          <w:rPr>
            <w:color w:val="0000FF"/>
          </w:rPr>
          <w:t>пунктом 8 части 1 статьи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12) разработка, финансовое обеспечение и реализация региональных программ социального обслуживания;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13) утверждение тарифов на социальные услуги в порядке, устанавливаемом правительством Воронежской области;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14) утверждение порядка предоставления получателями социальных услуг сведений и документов, необходимых для предоставления социальных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15)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16) разработка и апробация методик и технологий в сфере социального обслуживания;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17) установление мер стимулирования работников организаций социального обслуживания, находящихся в ведении Воронежской области;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18)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социального обслуживания;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18.1) определение организаций, которые находятся в ведении уполномоченного органа и которым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Воронежской области;</w:t>
      </w:r>
    </w:p>
    <w:p w:rsidR="003D5275" w:rsidRDefault="003D5275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Воронежской области от 14.12.2017 N 189-ОЗ)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19) иные полномочия в соответствии с федеральным законодательством.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7. Перечень социальных услуг, предоставляемых поставщиками социальных услуг в Воронежской области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>1. Социальные услуги предоставляются их получателям в форме социального обслуживания граждан на дому, или в полустационарной форме, или в стационарной форме.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2. Получателям социальных услуг с учетом их индивидуальных потребностей предоставляются социальные услуги в соответствии с </w:t>
      </w:r>
      <w:hyperlink w:anchor="P169" w:history="1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 в Воронежской области, утвержденным настоящим Законом Воронежской области согласно приложению.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8. Предоставление социальных услуг бесплатно в Воронежской области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 xml:space="preserve">Социальные услуги в форме социального обслуживания на дому, в полустационарной и стационарной формах предоставляются бесплатно в случаях, установленных </w:t>
      </w:r>
      <w:hyperlink r:id="rId24" w:history="1">
        <w:r>
          <w:rPr>
            <w:color w:val="0000FF"/>
          </w:rPr>
          <w:t>статьей 31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8.1. Размер предельной величины среднедушевого дохода для предоставления социальных услуг бесплатно в Воронежской области</w:t>
      </w:r>
    </w:p>
    <w:p w:rsidR="003D5275" w:rsidRDefault="003D527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Воронежской области от 30.11.2015 N 170-ОЗ)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>Предельная величина среднедушевого дохода для предоставления социальных услуг бесплатно в Воронежской области устанавливается равной полуторной величине прожиточного минимума, установленной для основных социально-демографических групп населения в Воронежской области.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8.2. Независимая оценка качества условий оказания услуг организациями социального обслуживания в Воронежской области</w:t>
      </w:r>
    </w:p>
    <w:p w:rsidR="003D5275" w:rsidRDefault="003D5275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Воронежской области от 12.03.2018 N 19-ОЗ)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 xml:space="preserve">1. Независимая оценка качества условий оказания услуг организациями социального обслуживания в Воронежской области проводится в соответствии со </w:t>
      </w:r>
      <w:hyperlink r:id="rId27" w:history="1">
        <w:r>
          <w:rPr>
            <w:color w:val="0000FF"/>
          </w:rPr>
          <w:t>статьей 23.1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2.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3. При проведении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целях создания в Воронежской области условий для организации проведения независимой оценки качества условий оказания услуг организациями социального обслуживания Общественная палата Воронежской области по обращению уполномоченного органа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общественный совет</w:t>
      </w:r>
      <w:proofErr w:type="gramEnd"/>
      <w:r>
        <w:t xml:space="preserve"> </w:t>
      </w:r>
      <w:proofErr w:type="gramStart"/>
      <w:r>
        <w:t>по проведению независимой оценки качества условий оказания услуг организациями социального обслуживания, которые расположены на территории Воронежской области и учредителем которых является Воронежская область, а также негосударственными организациями социального обслуживания, которые оказывают социальные услуги за счет бюджетных ассигнований областного бюджета, и утверждает их состав.</w:t>
      </w:r>
      <w:proofErr w:type="gramEnd"/>
      <w:r>
        <w:t xml:space="preserve"> Общественная палата Воронежской области информирует уполномоченный орган о составе созданного при этом органе общественного совета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5. Положение об общественном совете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в Воронежской области (далее - общественный совет) утверждается уполномоченным органом, при котором создан указанный общественный совет.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6. Общественный совет формируется и осуществляет свою деятельность в порядке, установленном </w:t>
      </w:r>
      <w:hyperlink r:id="rId28" w:history="1">
        <w:r>
          <w:rPr>
            <w:color w:val="0000FF"/>
          </w:rPr>
          <w:t>статьей 23.1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lastRenderedPageBreak/>
        <w:t>7. Информация о деятельности общественного совета подлежит размещению в сети "Интернет" на официальном сайте уполномоченного органа.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8. Поступившая в уполномоченный орган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подлежит обязательному рассмотрению указанным органом в месячный срок и учитывается им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9.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размещается уполномоченным органом на своем официальном сайте и официальном сайте для размещения информации о государственных и муниципальных учреждениях в сети "Интернет".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10. Состав информации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установлены законодательством Российской Федерации.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11. Губернатор Воронежской области ежегодно представляет в Воронежскую областную Думу обязательный публичный отчет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обслуживания, которые расположены на территории Воронежской области и учредителем которых является Воронежская область, и принимаемых мерах по совершенствованию деятельности указанных организаций. Состав отчета и порядок его рассмотрения Воронежской областной Думой определяются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D5275" w:rsidRDefault="003D5275">
      <w:pPr>
        <w:pStyle w:val="ConsPlusNormal"/>
        <w:spacing w:before="220"/>
        <w:ind w:firstLine="540"/>
        <w:jc w:val="both"/>
      </w:pPr>
      <w:bookmarkStart w:id="0" w:name="P119"/>
      <w:bookmarkEnd w:id="0"/>
      <w:r>
        <w:t>12. Уполномоченный орган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8.3. Информационная открытость поставщиков социальных услуг в Воронежской области</w:t>
      </w:r>
    </w:p>
    <w:p w:rsidR="003D5275" w:rsidRDefault="003D527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Воронежской области от 01.06.2016 N 63-ОЗ)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 xml:space="preserve">1. Поставщики социальных услуг в Воронежской области обеспечивают открытость и доступность информации о деятельности этих поставщиков в соответствии с положениями </w:t>
      </w:r>
      <w:hyperlink r:id="rId31" w:history="1">
        <w:r>
          <w:rPr>
            <w:color w:val="0000FF"/>
          </w:rPr>
          <w:t>статьи 13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Воронежской области от 12.03.2018 N 19-ОЗ.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3.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33" w:history="1">
        <w:r>
          <w:rPr>
            <w:color w:val="0000FF"/>
          </w:rPr>
          <w:t>главой 2.1</w:t>
        </w:r>
      </w:hyperlink>
      <w:r>
        <w:t xml:space="preserve"> Федерального закона от 17 июля 1999 года N 178-ФЗ "О государственной социальной помощи".</w:t>
      </w:r>
    </w:p>
    <w:p w:rsidR="003D5275" w:rsidRDefault="003D527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Воронежской области от 09.06.2018 N 93-ОЗ)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8.4. Обеспечение размещения информации о получателях социальных услуг, а также о предоставляемых им социальных услугах</w:t>
      </w:r>
    </w:p>
    <w:p w:rsidR="003D5275" w:rsidRDefault="003D527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Воронежской области от 09.06.2018 N 93-ОЗ)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lastRenderedPageBreak/>
        <w:t xml:space="preserve">Информация о получателях социальных услуг, а также о социальных услугах, предоставляемых им в соответствии с законодательством Российской Федерации и законодательством Воронежской области о социальном обслуживании граждан,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36" w:history="1">
        <w:r>
          <w:rPr>
            <w:color w:val="0000FF"/>
          </w:rPr>
          <w:t>главой 2.1</w:t>
        </w:r>
      </w:hyperlink>
      <w:r>
        <w:t xml:space="preserve"> Федерального закона от 17 июля 1999 года N 178-ФЗ "О государственной социальной помощи".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9. Меры социальной поддержки работников организаций социального обслуживания, находящихся в ведении Воронежской области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 xml:space="preserve">Работникам организаций социального обслуживания, находящихся в ведении Воронежской области, предоставляются меры социальной поддержки 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Воронежской области "О социальной поддержке отдельных категорий граждан в Воронежской области".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10. Финансовое обеспечение социального обслуживания в Воронежской области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>1. Финансовое обеспечение деятельности организаций социального обслуживания, находящихся в ведении Воронежской области, осуществляется в соответствии с бюджетным законодательством Российской Федерации за счет средств областного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3. Уполномоченный орган вправе привлекать иные источники финансирования социального обслуживания.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 Воронежской области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>1. Настоящий Закон Воронежской области вступает в силу по истечении 10 дней со дня его официального опубликования.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Воронежской области признать утратившими силу: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Закон</w:t>
        </w:r>
      </w:hyperlink>
      <w:r>
        <w:t xml:space="preserve"> Воронежской области от 1 декабря 2014 года N 157-ОЗ "О разграничении полномочий органов государственной власти Воронежской области в сфере социального обслуживания граждан" (информационная система "Портал Воронежской области в сети Интернет" (www.govvrn.ru), 2014, 2 декабря);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Закон</w:t>
        </w:r>
      </w:hyperlink>
      <w:r>
        <w:t xml:space="preserve"> Воронежской области от 11 декабря 2014 года N 183-ОЗ "О перечне социальных услуг, предоставляемых поставщиками социальных услуг в Воронежской области" (информационная система "Портал Воронежской области в сети Интернет" (www.govvrn.ru), 2014, 15 декабря).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jc w:val="right"/>
      </w:pPr>
      <w:r>
        <w:t>Губернатор Воронежской области</w:t>
      </w:r>
    </w:p>
    <w:p w:rsidR="003D5275" w:rsidRDefault="003D5275">
      <w:pPr>
        <w:pStyle w:val="ConsPlusNormal"/>
        <w:jc w:val="right"/>
      </w:pPr>
      <w:r>
        <w:lastRenderedPageBreak/>
        <w:t>А.В.ГОРДЕЕВ</w:t>
      </w:r>
    </w:p>
    <w:p w:rsidR="003D5275" w:rsidRDefault="003D5275">
      <w:pPr>
        <w:pStyle w:val="ConsPlusNormal"/>
      </w:pPr>
      <w:r>
        <w:t>г. Воронеж,</w:t>
      </w:r>
    </w:p>
    <w:p w:rsidR="003D5275" w:rsidRDefault="003D5275">
      <w:pPr>
        <w:pStyle w:val="ConsPlusNormal"/>
        <w:spacing w:before="220"/>
      </w:pPr>
      <w:r>
        <w:t>19.06.2015</w:t>
      </w:r>
    </w:p>
    <w:p w:rsidR="003D5275" w:rsidRDefault="003D5275">
      <w:pPr>
        <w:pStyle w:val="ConsPlusNormal"/>
        <w:spacing w:before="220"/>
      </w:pPr>
      <w:r>
        <w:t>N 113-ОЗ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jc w:val="right"/>
        <w:outlineLvl w:val="0"/>
      </w:pPr>
      <w:r>
        <w:t>Приложение</w:t>
      </w:r>
    </w:p>
    <w:p w:rsidR="003D5275" w:rsidRDefault="003D5275">
      <w:pPr>
        <w:pStyle w:val="ConsPlusNormal"/>
        <w:jc w:val="right"/>
      </w:pPr>
      <w:r>
        <w:t>к Закону</w:t>
      </w:r>
    </w:p>
    <w:p w:rsidR="003D5275" w:rsidRDefault="003D5275">
      <w:pPr>
        <w:pStyle w:val="ConsPlusNormal"/>
        <w:jc w:val="right"/>
      </w:pPr>
      <w:r>
        <w:t>Воронежской области</w:t>
      </w:r>
    </w:p>
    <w:p w:rsidR="003D5275" w:rsidRDefault="003D5275">
      <w:pPr>
        <w:pStyle w:val="ConsPlusNormal"/>
        <w:jc w:val="right"/>
      </w:pPr>
      <w:r>
        <w:t>"О регулировании отдельных отношений</w:t>
      </w:r>
    </w:p>
    <w:p w:rsidR="003D5275" w:rsidRDefault="003D5275">
      <w:pPr>
        <w:pStyle w:val="ConsPlusNormal"/>
        <w:jc w:val="right"/>
      </w:pPr>
      <w:r>
        <w:t>в сфере социального обслуживания граждан</w:t>
      </w:r>
    </w:p>
    <w:p w:rsidR="003D5275" w:rsidRDefault="003D5275">
      <w:pPr>
        <w:pStyle w:val="ConsPlusNormal"/>
        <w:jc w:val="right"/>
      </w:pPr>
      <w:r>
        <w:t>на территории Воронежской области"</w:t>
      </w:r>
    </w:p>
    <w:p w:rsidR="003D5275" w:rsidRDefault="003D5275">
      <w:pPr>
        <w:pStyle w:val="ConsPlusNormal"/>
        <w:jc w:val="right"/>
      </w:pPr>
      <w:r>
        <w:t>от 19.06.2015 N 113-ОЗ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Title"/>
        <w:jc w:val="center"/>
      </w:pPr>
      <w:bookmarkStart w:id="1" w:name="P169"/>
      <w:bookmarkEnd w:id="1"/>
      <w:r>
        <w:t>ПЕРЕЧЕНЬ</w:t>
      </w:r>
    </w:p>
    <w:p w:rsidR="003D5275" w:rsidRDefault="003D5275">
      <w:pPr>
        <w:pStyle w:val="ConsPlusTitle"/>
        <w:jc w:val="center"/>
      </w:pPr>
      <w:r>
        <w:t>СОЦИАЛЬНЫХ УСЛУГ, ПРЕДОСТАВЛЯЕМЫХ ПОСТАВЩИКАМИ</w:t>
      </w:r>
    </w:p>
    <w:p w:rsidR="003D5275" w:rsidRDefault="003D5275">
      <w:pPr>
        <w:pStyle w:val="ConsPlusTitle"/>
        <w:jc w:val="center"/>
      </w:pPr>
      <w:r>
        <w:t>СОЦИАЛЬНЫХ УСЛУГ В ВОРОНЕЖСКОЙ ОБЛАСТИ</w:t>
      </w:r>
    </w:p>
    <w:p w:rsidR="003D5275" w:rsidRDefault="003D52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52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275" w:rsidRDefault="003D52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275" w:rsidRDefault="003D52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Воронежской области от 18.12.2015 N 212-ОЗ)</w:t>
            </w:r>
          </w:p>
        </w:tc>
      </w:tr>
    </w:tbl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ind w:firstLine="540"/>
        <w:jc w:val="both"/>
      </w:pPr>
      <w:r>
        <w:t>1. Социально-бытовые услуги: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1)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а) обеспечение площадью жилых помещений в соответствии с утвержденными нормативами;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б) предоставление в пользование мебели в соответствии с утвержденными нормативами;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в) обеспечение питанием в соответствии с утвержденными нормативами;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г)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д) обеспечение за счет средств получателя социальных услуг книгами, журналами, газетами, настольными играми;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е) компенсация расходов по проезду на обучение, лечение, консультации;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ж) оказание помощи в написании писем;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з) обеспечение при выписке из учреждения одеждой, обувью и денежным пособием по утвержденным нормативам;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и) обеспечение сохранности личных вещей и ценностей;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к) создание условий для отправления религиозных обрядов;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л) содействие в организации ритуальных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proofErr w:type="gramStart"/>
      <w:r>
        <w:lastRenderedPageBreak/>
        <w:t>м) гражданам, нуждающимся в социальном обслуживании в связи с безработицей, стихийным бедствием, катастрофами, пострадавшим в результате вооруженных и межэтнических конфликтов и террористических актов, - предоставление временного проживания (на срок до 6 месяцев), оказание бытовых, санитарно-гигиенических услуг, при необходимости медицинской помощи, а также организация питания и досуга гражданам, полностью или частично сохранившим способность к самообслуживанию и свободному передвижению и временно нуждающимся в</w:t>
      </w:r>
      <w:proofErr w:type="gramEnd"/>
      <w:r>
        <w:t xml:space="preserve"> </w:t>
      </w:r>
      <w:proofErr w:type="gramStart"/>
      <w:r>
        <w:t>уходе</w:t>
      </w:r>
      <w:proofErr w:type="gramEnd"/>
      <w:r>
        <w:t>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2) в форме социального обслуживания на дому: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б) помощь в приготовлении пищи;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в) оплата за счет средств получателя социальных услуг жилищно-коммунальных услуг и услуг связи;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г) сдача за счет средств получателя социальных услуг вещей в стирку, химчистку, ремонт, обратная их доставка;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д)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е) организация помощи в проведении ремонта жилых помещений;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ж) обеспечение кратковременного присмотра за детьми;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з) уборка жилых помещений;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и) содействие в организации ритуальных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3) во всех формах социального обслуживания: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б) отправка за счет средств получателя социальных услуг почтовой корреспонденции;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в) помощь в приеме пищи (кормление).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1) 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2)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лекарственных препаратов и др.);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3) содействие в проведении медико-социальной экспертизы;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4) проведение реабилитационных мероприятий (медицинских, социальных), в том числе для инвалидов, на основании индивидуальных программ реабилитации или абилитации;</w:t>
      </w:r>
    </w:p>
    <w:p w:rsidR="003D5275" w:rsidRDefault="003D527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Воронежской области от 18.12.2015 N 212-ОЗ)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lastRenderedPageBreak/>
        <w:t>5) оказание первичной медико-санитарной и стоматологической помощи;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6) организация прохождения диспансеризации;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7) 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8) содействие в обеспечении по заключению врачей лекарственными средствами и изделиями медицинского назначения;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9) помощь в получении путевок на санаторно-курортное лечение, в том числе льготных;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10)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11) оказание содействия в проведении оздоровительных мероприятий;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12) систематическое наблюдение за получателями социальных услуг в целях выявления отклонений в состоянии их здоровья;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13)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14) проведение мероприятий, направленных на формирование здорового образа жизни;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15) проведение занятий по адаптивной физической культуре;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16) обеспечение техническими средствами ухода и реабилитации;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17) обеспечение санитарно-гигиенических требований в жилых помещениях и местах общего пользования.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1) социально-психологическое консультирование (в том числе по вопросам внутрисемейных отношений);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2) социально-психологический патронаж;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3) оказание консультационной психологической помощи анонимно (в том числе с использованием телефона доверия).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3) социально-педагогическая коррекция, включая диагностику и консультирование;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4) формирование позитивных интересов (в том числе в сфере досуга);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5) организация досуга (праздники, экскурсии и другие культурные мероприятия).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lastRenderedPageBreak/>
        <w:t>5. Социально-трудовые услуги во всех формах социального обслуживания: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2) оказание помощи в трудоустройстве;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утраченных документов получателей социальных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2) оказание помощи по вопросам пенсионного обеспечения и предоставления других социальных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3) оказание помощи в получении юридических услуг (в том числе бесплатно);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4) оказание помощи в защите прав и законных интересов получателей социальных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proofErr w:type="gramStart"/>
      <w:r>
        <w:t>5) 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возвращено ранее занимаемое</w:t>
      </w:r>
      <w:proofErr w:type="gramEnd"/>
      <w:r>
        <w:t xml:space="preserve"> помещение.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1) содействие в получении образования и (или) профессии инвалидами в соответствии с их физическими возможностями и умственными способностями;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2) обучение инвалидов (детей-инвалидов) пользованию средствами ухода и техническими средствами реабилитации;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3) проведение социально-реабилитационных мероприятий в сфере социального обслуживания;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4) обучение навыкам поведения в быту и общественных местах;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5) оказание помощи в обучении навыкам компьютерной грамотности.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3) содействие в получении временного жилого помещения;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 xml:space="preserve">5) содействие в получении экстренной психологической помощи с привлечением к этой </w:t>
      </w:r>
      <w:r>
        <w:lastRenderedPageBreak/>
        <w:t>работе психологов и священнослужителей;</w:t>
      </w:r>
    </w:p>
    <w:p w:rsidR="003D5275" w:rsidRDefault="003D5275">
      <w:pPr>
        <w:pStyle w:val="ConsPlusNormal"/>
        <w:spacing w:before="220"/>
        <w:ind w:firstLine="540"/>
        <w:jc w:val="both"/>
      </w:pPr>
      <w:r>
        <w:t>6) оказание материальной помощи.</w:t>
      </w: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jc w:val="both"/>
      </w:pPr>
    </w:p>
    <w:p w:rsidR="003D5275" w:rsidRDefault="003D5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BFF" w:rsidRDefault="00F31BFF"/>
    <w:sectPr w:rsidR="00F31BFF" w:rsidSect="00F6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5275"/>
    <w:rsid w:val="003D5275"/>
    <w:rsid w:val="00F3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AFA1478E1FA4D03839197B4E7D99D5092B6CDF76A176F340D802D7D26DC821725D65775927C7AF4C09F8E3050D9BDDA4D96A6BA994ED0EBECEFU2I7H" TargetMode="External"/><Relationship Id="rId13" Type="http://schemas.openxmlformats.org/officeDocument/2006/relationships/hyperlink" Target="consultantplus://offline/ref=E95AFA1478E1FA4D03838F9AA28B86985391E1C9FF6C1B386152DB702A2FD6D5426AD7193097637AF5DE9D863AU0IDH" TargetMode="External"/><Relationship Id="rId18" Type="http://schemas.openxmlformats.org/officeDocument/2006/relationships/hyperlink" Target="consultantplus://offline/ref=E95AFA1478E1FA4D03839197B4E7D99D5092B6CDF768126E3A0D802D7D26DC821725D65775927C7AF4C09E813050D9BDDA4D96A6BA994ED0EBECEFU2I7H" TargetMode="External"/><Relationship Id="rId26" Type="http://schemas.openxmlformats.org/officeDocument/2006/relationships/hyperlink" Target="consultantplus://offline/ref=E95AFA1478E1FA4D03839197B4E7D99D5092B6CDF768126E3A0D802D7D26DC821725D65775927C7AF4C09D863050D9BDDA4D96A6BA994ED0EBECEFU2I7H" TargetMode="External"/><Relationship Id="rId39" Type="http://schemas.openxmlformats.org/officeDocument/2006/relationships/hyperlink" Target="consultantplus://offline/ref=E95AFA1478E1FA4D03839197B4E7D99D5092B6CDF969126C3A0D802D7D26DC821725D64575CA707BFCDE9F87250688F8U8I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5AFA1478E1FA4D03838F9AA28B86985391E1C9FF6C1B386152DB702A2FD6D5506A8F15319F7C72F5CBCBD77F5185F8875E97AFBA9B4FCFUEI0H" TargetMode="External"/><Relationship Id="rId34" Type="http://schemas.openxmlformats.org/officeDocument/2006/relationships/hyperlink" Target="consultantplus://offline/ref=E95AFA1478E1FA4D03839197B4E7D99D5092B6CDF76F166C3F0D802D7D26DC821725D65775927C7AF4C09A843050D9BDDA4D96A6BA994ED0EBECEFU2I7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95AFA1478E1FA4D03839197B4E7D99D5092B6CDF86A13663E0D802D7D26DC821725D65775927C7AF4C09F8E3050D9BDDA4D96A6BA994ED0EBECEFU2I7H" TargetMode="External"/><Relationship Id="rId12" Type="http://schemas.openxmlformats.org/officeDocument/2006/relationships/hyperlink" Target="consultantplus://offline/ref=E95AFA1478E1FA4D03838F9AA28B86985391EFC5F43D4C3A3007D575227F8CC54623831C2F9F7C64F6C09EU8IFH" TargetMode="External"/><Relationship Id="rId17" Type="http://schemas.openxmlformats.org/officeDocument/2006/relationships/hyperlink" Target="consultantplus://offline/ref=E95AFA1478E1FA4D03838F9AA28B86985391E1C9FF6C1B386152DB702A2FD6D5426AD7193097637AF5DE9D863AU0IDH" TargetMode="External"/><Relationship Id="rId25" Type="http://schemas.openxmlformats.org/officeDocument/2006/relationships/hyperlink" Target="consultantplus://offline/ref=E95AFA1478E1FA4D03839197B4E7D99D5092B6CDF96C196A3B0D802D7D26DC821725D65775927C7AF4C09F8E3050D9BDDA4D96A6BA994ED0EBECEFU2I7H" TargetMode="External"/><Relationship Id="rId33" Type="http://schemas.openxmlformats.org/officeDocument/2006/relationships/hyperlink" Target="consultantplus://offline/ref=E95AFA1478E1FA4D03838F9AA28B86985298ECC8FB6F1B386152DB702A2FD6D5506A8F16319C762EA584CA8B3A0C96F98E5E95AEA5U9I0H" TargetMode="External"/><Relationship Id="rId38" Type="http://schemas.openxmlformats.org/officeDocument/2006/relationships/hyperlink" Target="consultantplus://offline/ref=E95AFA1478E1FA4D03839197B4E7D99D5092B6CDF9691068390D802D7D26DC821725D64575CA707BFCDE9F87250688F8U8I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5AFA1478E1FA4D03838F9AA28B86985391E1C9FF6C1B386152DB702A2FD6D5426AD7193097637AF5DE9D863AU0IDH" TargetMode="External"/><Relationship Id="rId20" Type="http://schemas.openxmlformats.org/officeDocument/2006/relationships/hyperlink" Target="consultantplus://offline/ref=E95AFA1478E1FA4D03839197B4E7D99D5092B6CDF768126E3A0D802D7D26DC821725D65775927C7AF4C09E8F3050D9BDDA4D96A6BA994ED0EBECEFU2I7H" TargetMode="External"/><Relationship Id="rId29" Type="http://schemas.openxmlformats.org/officeDocument/2006/relationships/hyperlink" Target="consultantplus://offline/ref=E95AFA1478E1FA4D03838F9AA28B86985298EDC0F66C1B386152DB702A2FD6D5426AD7193097637AF5DE9D863AU0IDH" TargetMode="External"/><Relationship Id="rId41" Type="http://schemas.openxmlformats.org/officeDocument/2006/relationships/hyperlink" Target="consultantplus://offline/ref=E95AFA1478E1FA4D03839197B4E7D99D5092B6CDF963166A350D802D7D26DC821725D65775927C7AF4C09A853050D9BDDA4D96A6BA994ED0EBECEFU2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AFA1478E1FA4D03839197B4E7D99D5092B6CDF963166A350D802D7D26DC821725D65775927C7AF4C09A853050D9BDDA4D96A6BA994ED0EBECEFU2I7H" TargetMode="External"/><Relationship Id="rId11" Type="http://schemas.openxmlformats.org/officeDocument/2006/relationships/hyperlink" Target="consultantplus://offline/ref=E95AFA1478E1FA4D03838F9AA28B86985391E1C9FF6C1B386152DB702A2FD6D5506A8F15319F7D7BF2CBCBD77F5185F8875E97AFBA9B4FCFUEI0H" TargetMode="External"/><Relationship Id="rId24" Type="http://schemas.openxmlformats.org/officeDocument/2006/relationships/hyperlink" Target="consultantplus://offline/ref=E95AFA1478E1FA4D03838F9AA28B86985391E1C9FF6C1B386152DB702A2FD6D5506A8F15319F7E78F1CBCBD77F5185F8875E97AFBA9B4FCFUEI0H" TargetMode="External"/><Relationship Id="rId32" Type="http://schemas.openxmlformats.org/officeDocument/2006/relationships/hyperlink" Target="consultantplus://offline/ref=E95AFA1478E1FA4D03839197B4E7D99D5092B6CDF768126E3A0D802D7D26DC821725D65775927C7AF4C09C823050D9BDDA4D96A6BA994ED0EBECEFU2I7H" TargetMode="External"/><Relationship Id="rId37" Type="http://schemas.openxmlformats.org/officeDocument/2006/relationships/hyperlink" Target="consultantplus://offline/ref=E95AFA1478E1FA4D03839197B4E7D99D5092B6CDF76D1069390D802D7D26DC821725D64575CA707BFCDE9F87250688F8U8I6H" TargetMode="External"/><Relationship Id="rId40" Type="http://schemas.openxmlformats.org/officeDocument/2006/relationships/hyperlink" Target="consultantplus://offline/ref=E95AFA1478E1FA4D03839197B4E7D99D5092B6CDF963166A350D802D7D26DC821725D65775927C7AF4C09A853050D9BDDA4D96A6BA994ED0EBECEFU2I7H" TargetMode="External"/><Relationship Id="rId5" Type="http://schemas.openxmlformats.org/officeDocument/2006/relationships/hyperlink" Target="consultantplus://offline/ref=E95AFA1478E1FA4D03839197B4E7D99D5092B6CDF96C196A3B0D802D7D26DC821725D65775927C7AF4C09F8E3050D9BDDA4D96A6BA994ED0EBECEFU2I7H" TargetMode="External"/><Relationship Id="rId15" Type="http://schemas.openxmlformats.org/officeDocument/2006/relationships/hyperlink" Target="consultantplus://offline/ref=E95AFA1478E1FA4D03839197B4E7D99D5092B6CDF768126E3A0D802D7D26DC821725D65775927C7AF4C09F8F3050D9BDDA4D96A6BA994ED0EBECEFU2I7H" TargetMode="External"/><Relationship Id="rId23" Type="http://schemas.openxmlformats.org/officeDocument/2006/relationships/hyperlink" Target="consultantplus://offline/ref=E95AFA1478E1FA4D03839197B4E7D99D5092B6CDF76A176F340D802D7D26DC821725D65775927C7AF4C09E873050D9BDDA4D96A6BA994ED0EBECEFU2I7H" TargetMode="External"/><Relationship Id="rId28" Type="http://schemas.openxmlformats.org/officeDocument/2006/relationships/hyperlink" Target="consultantplus://offline/ref=E95AFA1478E1FA4D03838F9AA28B86985391E1C9FF6C1B386152DB702A2FD6D5506A8F1D3ACB2C3EA1CD9E8E250489E78D4096UAI7H" TargetMode="External"/><Relationship Id="rId36" Type="http://schemas.openxmlformats.org/officeDocument/2006/relationships/hyperlink" Target="consultantplus://offline/ref=E95AFA1478E1FA4D03838F9AA28B86985298ECC8FB6F1B386152DB702A2FD6D5506A8F16319C762EA584CA8B3A0C96F98E5E95AEA5U9I0H" TargetMode="External"/><Relationship Id="rId10" Type="http://schemas.openxmlformats.org/officeDocument/2006/relationships/hyperlink" Target="consultantplus://offline/ref=E95AFA1478E1FA4D03839197B4E7D99D5092B6CDF76F166C3F0D802D7D26DC821725D65775927C7AF4C09A873050D9BDDA4D96A6BA994ED0EBECEFU2I7H" TargetMode="External"/><Relationship Id="rId19" Type="http://schemas.openxmlformats.org/officeDocument/2006/relationships/hyperlink" Target="consultantplus://offline/ref=E95AFA1478E1FA4D03838F9AA28B86985391E1C9FF6C1B386152DB702A2FD6D5426AD7193097637AF5DE9D863AU0IDH" TargetMode="External"/><Relationship Id="rId31" Type="http://schemas.openxmlformats.org/officeDocument/2006/relationships/hyperlink" Target="consultantplus://offline/ref=E95AFA1478E1FA4D03838F9AA28B86985391E1C9FF6C1B386152DB702A2FD6D5506A8F15319F7C7FF6CBCBD77F5185F8875E97AFBA9B4FCFUEI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5AFA1478E1FA4D03839197B4E7D99D5092B6CDF768126E3A0D802D7D26DC821725D65775927C7AF4C09F8E3050D9BDDA4D96A6BA994ED0EBECEFU2I7H" TargetMode="External"/><Relationship Id="rId14" Type="http://schemas.openxmlformats.org/officeDocument/2006/relationships/hyperlink" Target="consultantplus://offline/ref=E95AFA1478E1FA4D03838F9AA28B86985391E1C9FF6C1B386152DB702A2FD6D5426AD7193097637AF5DE9D863AU0IDH" TargetMode="External"/><Relationship Id="rId22" Type="http://schemas.openxmlformats.org/officeDocument/2006/relationships/hyperlink" Target="consultantplus://offline/ref=E95AFA1478E1FA4D03838F9AA28B86985391E1C9FF6C1B386152DB702A2FD6D5426AD7193097637AF5DE9D863AU0IDH" TargetMode="External"/><Relationship Id="rId27" Type="http://schemas.openxmlformats.org/officeDocument/2006/relationships/hyperlink" Target="consultantplus://offline/ref=E95AFA1478E1FA4D03838F9AA28B86985391E1C9FF6C1B386152DB702A2FD6D5506A8F1D3ACB2C3EA1CD9E8E250489E78D4096UAI7H" TargetMode="External"/><Relationship Id="rId30" Type="http://schemas.openxmlformats.org/officeDocument/2006/relationships/hyperlink" Target="consultantplus://offline/ref=E95AFA1478E1FA4D03839197B4E7D99D5092B6CDF86A13663E0D802D7D26DC821725D65775927C7AF4C09D843050D9BDDA4D96A6BA994ED0EBECEFU2I7H" TargetMode="External"/><Relationship Id="rId35" Type="http://schemas.openxmlformats.org/officeDocument/2006/relationships/hyperlink" Target="consultantplus://offline/ref=E95AFA1478E1FA4D03839197B4E7D99D5092B6CDF76F166C3F0D802D7D26DC821725D65775927C7AF4C09A823050D9BDDA4D96A6BA994ED0EBECEFU2I7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5152</Words>
  <Characters>29369</Characters>
  <Application>Microsoft Office Word</Application>
  <DocSecurity>0</DocSecurity>
  <Lines>244</Lines>
  <Paragraphs>68</Paragraphs>
  <ScaleCrop>false</ScaleCrop>
  <Company/>
  <LinksUpToDate>false</LinksUpToDate>
  <CharactersWithSpaces>34453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my_leshenko</dc:creator>
  <cp:keywords/>
  <dc:description/>
  <cp:lastModifiedBy>my_leshenko</cp:lastModifiedBy>
  <cp:revision>1</cp:revision>
  <dcterms:created xsi:type="dcterms:W3CDTF">2019-01-18T07:08:00Z</dcterms:created>
  <dcterms:modified xsi:type="dcterms:W3CDTF">2019-01-18T07:09:00Z</dcterms:modified>
</cp:coreProperties>
</file>